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</w:pPr>
          <w:r w:rsidDel="00000000" w:rsidR="00000000" w:rsidRPr="00000000">
            <w:pict>
              <v:shapetype id="_x0000_t202" coordsize="21600,21600" o:spt="202.0" path="m,l,21600r21600,l21600,xe">
                <v:stroke joinstyle="miter"/>
                <v:path o:connecttype="rect" gradientshapeok="t"/>
              </v:shapetype>
              <v:shapetype id="_x0000_t75" coordsize="21600,21600" filled="f" stroked="f" o:spt="75.0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connecttype="rect" o:extrusionok="f" gradientshapeok="t"/>
                <o:lock v:ext="edit" aspectratio="t"/>
              </v:shapetype>
              <v:shapetype id="_x0000_t202" coordsize="21600,21600" o:spt="202.0" path="m,l,21600r21600,l21600,xe">
                <v:stroke joinstyle="miter"/>
                <v:path o:connecttype="rect" gradientshapeok="t"/>
              </v:shapetype>
            </w:pic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tabs>
              <w:tab w:val="left" w:pos="10080"/>
            </w:tabs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tabs>
              <w:tab w:val="left" w:pos="10080"/>
            </w:tabs>
            <w:spacing w:after="0" w:line="240" w:lineRule="auto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УТВЕРЖДАЮ</w:t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ДИРЕКТОР ООО «ЦПК «Бизнес-Формат»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Ю. Ю. Баковец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jc w:val="right"/>
            <w:rPr>
              <w:rFonts w:ascii="Times New Roman" w:cs="Times New Roman" w:eastAsia="Times New Roman" w:hAnsi="Times New Roman"/>
              <w:b w:val="1"/>
              <w:sz w:val="20"/>
              <w:szCs w:val="20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0"/>
              <w:szCs w:val="20"/>
              <w:rtl w:val="0"/>
            </w:rPr>
            <w:t xml:space="preserve">«15» апреля  2017 г.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jc w:val="right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УЧЕБНО-ТЕМАТИЧЕСКИЙ ПЛАН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КУРСОВ ПРОФЕССИОНАЛЬНОЙ ПЕРЕПОДГОТОВКИ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(260 ак.ч.)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spacing w:after="0" w:line="240" w:lineRule="auto"/>
            <w:jc w:val="center"/>
            <w:rPr>
              <w:rFonts w:ascii="Times New Roman" w:cs="Times New Roman" w:eastAsia="Times New Roman" w:hAnsi="Times New Roman"/>
              <w:b w:val="1"/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938.0" w:type="dxa"/>
        <w:jc w:val="left"/>
        <w:tblInd w:w="93.0" w:type="dxa"/>
        <w:tblLayout w:type="fixed"/>
        <w:tblLook w:val="0000"/>
      </w:tblPr>
      <w:tblGrid>
        <w:gridCol w:w="612"/>
        <w:gridCol w:w="6916"/>
        <w:gridCol w:w="2410"/>
        <w:tblGridChange w:id="0">
          <w:tblGrid>
            <w:gridCol w:w="612"/>
            <w:gridCol w:w="6916"/>
            <w:gridCol w:w="2410"/>
          </w:tblGrid>
        </w:tblGridChange>
      </w:tblGrid>
      <w:tr>
        <w:trPr>
          <w:trHeight w:val="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№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Наименования модулей, разделов курса </w:t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Объем 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sz w:val="28"/>
                    <w:szCs w:val="28"/>
                    <w:rtl w:val="0"/>
                  </w:rPr>
                  <w:t xml:space="preserve">(ак.час.)</w:t>
                </w:r>
              </w:p>
            </w:sdtContent>
          </w:sdt>
        </w:tc>
      </w:tr>
      <w:tr>
        <w:trPr>
          <w:trHeight w:val="76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1. Контрактная система в сфере закупок для государственных и муниципальных нужд. Изменения в 2017 году: основные НПА.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35</w:t>
                </w:r>
              </w:p>
            </w:sdtContent>
          </w:sdt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2</w:t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2. Контрактная служба заказчика. Контрактный управляющий.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21</w:t>
                </w:r>
              </w:p>
            </w:sdtContent>
          </w:sdt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3</w:t>
                </w:r>
              </w:p>
            </w:sdtContent>
          </w:sdt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spacing w:after="0" w:line="240" w:lineRule="auto"/>
                  <w:jc w:val="both"/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3. Начальная максимальная цена контракта.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22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4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4. Конкурсы в КС.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25</w:t>
                </w:r>
              </w:p>
            </w:sdtContent>
          </w:sdt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5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5. Электронный аукцион.</w:t>
                </w:r>
              </w:p>
            </w:sdtContent>
          </w:sdt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21</w:t>
                </w:r>
              </w:p>
            </w:sdtContent>
          </w:sdt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6</w:t>
                </w:r>
              </w:p>
            </w:sdtContent>
          </w:sdt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6. Запрос предложений.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20</w:t>
                </w:r>
              </w:p>
            </w:sdtContent>
          </w:sdt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7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7. Запрос котировок.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22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8.Закупка у единственного поставщика.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24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9.Техническое задание.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21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10.Государственный и муниципальный контракт.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22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11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11. Риски заказчика при заключении договоров.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12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Модуль 12. Рекомендации заказчику в договорной работе. 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13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13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Итоговое тестирование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</w:t>
                </w:r>
              </w:p>
            </w:sdtContent>
          </w:sdt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rtl w:val="0"/>
                  </w:rPr>
                  <w:t xml:space="preserve"> 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after="0" w:line="240" w:lineRule="auto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ВСЕГО: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after="0" w:line="240" w:lineRule="auto"/>
                  <w:jc w:val="center"/>
                  <w:rPr>
                    <w:rFonts w:ascii="Times New Roman" w:cs="Times New Roman" w:eastAsia="Times New Roman" w:hAnsi="Times New Roman"/>
                    <w:b w:val="1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rtl w:val="0"/>
                  </w:rPr>
                  <w:t xml:space="preserve">260</w:t>
                </w:r>
              </w:p>
            </w:sdtContent>
          </w:sdt>
        </w:tc>
      </w:tr>
    </w:tbl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spacing w:after="0" w:line="240" w:lineRule="auto"/>
            <w:ind w:firstLine="567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spacing w:after="0" w:line="240" w:lineRule="auto"/>
            <w:ind w:firstLine="567"/>
            <w:jc w:val="both"/>
            <w:rPr>
              <w:rFonts w:ascii="Times New Roman" w:cs="Times New Roman" w:eastAsia="Times New Roman" w:hAnsi="Times New Roman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widowControl w:val="0"/>
            <w:spacing w:after="0" w:line="257" w:lineRule="auto"/>
            <w:ind w:left="120" w:right="100" w:firstLine="58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Категории обучаемых: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программа курсов предназначена для руководителей заказчиков, руководителей контрактных служб заказчиков, контрактных управляющих, контрольных органов, председателей и членов комиссий заказчиков, которыми выступают государственные органы, органы управления государственными внебюджетными фондами, органы местного самоуправления, казенные и бюджетные учреждения, Государственная корпорация по атомной энергии «Росатом» и подведомственные ей организации, а в отдельных случаях автономные учреждения, государственные и муниципальные унитарные предприятия.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widowControl w:val="0"/>
            <w:spacing w:after="0" w:line="240" w:lineRule="auto"/>
            <w:ind w:left="120" w:firstLine="589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widowControl w:val="0"/>
            <w:spacing w:after="0" w:lineRule="auto"/>
            <w:ind w:left="120" w:right="100" w:firstLine="58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Формы обучения: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Очно-заочная (с частичным отрывом от работы), заочная (без отрыва от работы).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widowControl w:val="0"/>
            <w:spacing w:after="0" w:line="240" w:lineRule="auto"/>
            <w:ind w:left="34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УЧЕБНАЯ ПРОГРАММА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widowControl w:val="0"/>
            <w:spacing w:after="0" w:line="308.00000000000006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widowControl w:val="0"/>
            <w:spacing w:after="0" w:line="240" w:lineRule="auto"/>
            <w:ind w:left="428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Введение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widowControl w:val="0"/>
            <w:spacing w:after="0" w:line="283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spacing w:after="0" w:line="240" w:lineRule="auto"/>
            <w:ind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Курсы по дополнительной профессиональной образовательной программе в сфере 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260 ч. 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проводятся для реализации требований ст.9, ч.5 ст.39 и ч.6 ст.38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widowControl w:val="0"/>
            <w:spacing w:after="0" w:line="245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Программа позволяет обучать слушателей в соответствии с действующей нормативной базой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в очно-заочном формате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(с частичным отрывом от работы),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в заочном формате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(без отрыва от работы), применяя современные образовательные методики и технологии, в том числе с дистанционные образовательные технологии, электронное обучение позволяет формировать у слушателей знания и практический опыт в сфере закупок товаров, работ, услуг для обеспечения государственных и муниципальных нужд. </w:t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widowControl w:val="0"/>
            <w:spacing w:after="0" w:line="240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Нормативный срок обучения на курсах (прохождение профессиональной переподготовки) вне зависимости от используемых форм и технологий обучения составляет 260 академических часов. Обучение может проводиться в полном объеме с использованием дистанционных образовательных технологий. 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widowControl w:val="0"/>
            <w:numPr>
              <w:ilvl w:val="0"/>
              <w:numId w:val="1"/>
            </w:numPr>
            <w:spacing w:after="0" w:line="240" w:lineRule="auto"/>
            <w:ind w:left="0" w:firstLine="703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завершении обучения проводится итоговая аттестация, в виде письменного итогового тестирования. </w:t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widowControl w:val="0"/>
            <w:spacing w:after="0" w:line="240" w:lineRule="auto"/>
            <w:ind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Специалисты, прошедшие обучение на курсах по дополнительной профессиональной образовательной программе в сфере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 должны знать: 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widowControl w:val="0"/>
            <w:numPr>
              <w:ilvl w:val="0"/>
              <w:numId w:val="10"/>
            </w:numPr>
            <w:spacing w:after="0" w:line="261" w:lineRule="auto"/>
            <w:ind w:left="709" w:right="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основные положения законодательства Российской Федерации сфере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widowControl w:val="0"/>
            <w:numPr>
              <w:ilvl w:val="0"/>
              <w:numId w:val="10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права, обязанности и функции (полномочия) комиссий по осуществлению закупок; 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widowControl w:val="0"/>
            <w:numPr>
              <w:ilvl w:val="0"/>
              <w:numId w:val="10"/>
            </w:numPr>
            <w:spacing w:after="0" w:line="240" w:lineRule="auto"/>
            <w:ind w:left="709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права, обязанности и функции (полномочия) контрактной службы, контрактного управляющего; 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widowControl w:val="0"/>
            <w:numPr>
              <w:ilvl w:val="0"/>
              <w:numId w:val="10"/>
            </w:numPr>
            <w:spacing w:after="0" w:line="240" w:lineRule="auto"/>
            <w:ind w:left="709" w:right="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способы определения поставщиков (подрядчиков, исполнителей); 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widowControl w:val="0"/>
            <w:numPr>
              <w:ilvl w:val="0"/>
              <w:numId w:val="10"/>
            </w:numPr>
            <w:spacing w:after="0" w:line="240" w:lineRule="auto"/>
            <w:ind w:left="709" w:right="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процедуры различных способов определения поставщиков (подрядчиков, </w:t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widowControl w:val="0"/>
            <w:spacing w:after="0" w:line="240" w:lineRule="auto"/>
            <w:ind w:left="709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widowControl w:val="0"/>
            <w:spacing w:after="0" w:line="261" w:lineRule="auto"/>
            <w:ind w:left="709" w:right="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исполнителей), их содержание, особенности осуществления отдельных видов закупок;</w:t>
          </w:r>
        </w:p>
      </w:sdtContent>
    </w:sdt>
    <w:sdt>
      <w:sdtPr>
        <w:tag w:val="goog_rdk_100"/>
      </w:sdtPr>
      <w:sdtContent>
        <w:p w:rsidR="00000000" w:rsidDel="00000000" w:rsidP="00000000" w:rsidRDefault="00000000" w:rsidRPr="00000000" w14:paraId="00000065">
          <w:pPr>
            <w:widowControl w:val="0"/>
            <w:numPr>
              <w:ilvl w:val="0"/>
              <w:numId w:val="10"/>
            </w:numPr>
            <w:spacing w:after="0" w:line="261" w:lineRule="auto"/>
            <w:ind w:left="709" w:right="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и порядок заключения, исполнения, изменения, расторжения контрактов. </w:t>
          </w:r>
        </w:p>
      </w:sdtContent>
    </w:sdt>
    <w:sdt>
      <w:sdtPr>
        <w:tag w:val="goog_rdk_101"/>
      </w:sdtPr>
      <w:sdtContent>
        <w:p w:rsidR="00000000" w:rsidDel="00000000" w:rsidP="00000000" w:rsidRDefault="00000000" w:rsidRPr="00000000" w14:paraId="00000066">
          <w:pPr>
            <w:widowControl w:val="0"/>
            <w:spacing w:after="0" w:line="261" w:lineRule="auto"/>
            <w:ind w:left="709" w:right="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2"/>
      </w:sdtPr>
      <w:sdtContent>
        <w:p w:rsidR="00000000" w:rsidDel="00000000" w:rsidP="00000000" w:rsidRDefault="00000000" w:rsidRPr="00000000" w14:paraId="00000067">
          <w:pPr>
            <w:widowControl w:val="0"/>
            <w:spacing w:after="0" w:line="261" w:lineRule="auto"/>
            <w:ind w:right="20"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Специалисты, прошедшие обучение на курсах по дополнительной профессиональной образовательной программе в сфере закупок 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rtl w:val="0"/>
            </w:rPr>
            <w:t xml:space="preserve">"Контрактная система в сфере закупок товаров, работ, услуг для обеспечения государственных и муниципальных нужд»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, должны уметь: </w:t>
          </w:r>
        </w:p>
      </w:sdtContent>
    </w:sdt>
    <w:sdt>
      <w:sdtPr>
        <w:tag w:val="goog_rdk_103"/>
      </w:sdtPr>
      <w:sdtContent>
        <w:p w:rsidR="00000000" w:rsidDel="00000000" w:rsidP="00000000" w:rsidRDefault="00000000" w:rsidRPr="00000000" w14:paraId="00000068">
          <w:pPr>
            <w:widowControl w:val="0"/>
            <w:spacing w:after="0" w:line="240" w:lineRule="auto"/>
            <w:ind w:firstLine="709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4"/>
      </w:sdtPr>
      <w:sdtContent>
        <w:p w:rsidR="00000000" w:rsidDel="00000000" w:rsidP="00000000" w:rsidRDefault="00000000" w:rsidRPr="00000000" w14:paraId="00000069">
          <w:pPr>
            <w:widowControl w:val="0"/>
            <w:spacing w:after="0" w:line="240" w:lineRule="auto"/>
            <w:ind w:right="20" w:firstLine="709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применять на практике положения законодательства РФ сфере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105"/>
      </w:sdtPr>
      <w:sdtContent>
        <w:p w:rsidR="00000000" w:rsidDel="00000000" w:rsidP="00000000" w:rsidRDefault="00000000" w:rsidRPr="00000000" w14:paraId="0000006A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6"/>
      </w:sdtPr>
      <w:sdtContent>
        <w:p w:rsidR="00000000" w:rsidDel="00000000" w:rsidP="00000000" w:rsidRDefault="00000000" w:rsidRPr="00000000" w14:paraId="0000006B">
          <w:pPr>
            <w:widowControl w:val="0"/>
            <w:spacing w:after="0" w:line="25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разрабатывать пакет документации, необходимый для проведения закупок товаров, работ, услуг для обеспечения государственных и муниципальных нужд; </w:t>
          </w:r>
        </w:p>
      </w:sdtContent>
    </w:sdt>
    <w:sdt>
      <w:sdtPr>
        <w:tag w:val="goog_rdk_107"/>
      </w:sdtPr>
      <w:sdtContent>
        <w:p w:rsidR="00000000" w:rsidDel="00000000" w:rsidP="00000000" w:rsidRDefault="00000000" w:rsidRPr="00000000" w14:paraId="0000006C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8"/>
      </w:sdtPr>
      <w:sdtContent>
        <w:p w:rsidR="00000000" w:rsidDel="00000000" w:rsidP="00000000" w:rsidRDefault="00000000" w:rsidRPr="00000000" w14:paraId="0000006D">
          <w:pPr>
            <w:widowControl w:val="0"/>
            <w:spacing w:after="0" w:line="24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готовить проекты контрактов на поставку товаров, выполнение работ, оказание услуг для государственных или муниципальных нужд; </w:t>
          </w:r>
        </w:p>
      </w:sdtContent>
    </w:sdt>
    <w:sdt>
      <w:sdtPr>
        <w:tag w:val="goog_rdk_109"/>
      </w:sdtPr>
      <w:sdtContent>
        <w:p w:rsidR="00000000" w:rsidDel="00000000" w:rsidP="00000000" w:rsidRDefault="00000000" w:rsidRPr="00000000" w14:paraId="0000006E">
          <w:pPr>
            <w:widowControl w:val="0"/>
            <w:spacing w:after="0" w:line="240" w:lineRule="auto"/>
            <w:ind w:right="20" w:firstLine="711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- применять информационные технологии в сфере закупок товаров, работ, услуг для обеспечения государственных и муниципальных нужд. </w:t>
          </w:r>
        </w:p>
      </w:sdtContent>
    </w:sdt>
    <w:sdt>
      <w:sdtPr>
        <w:tag w:val="goog_rdk_110"/>
      </w:sdtPr>
      <w:sdtContent>
        <w:p w:rsidR="00000000" w:rsidDel="00000000" w:rsidP="00000000" w:rsidRDefault="00000000" w:rsidRPr="00000000" w14:paraId="0000006F">
          <w:pPr>
            <w:widowControl w:val="0"/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1"/>
      </w:sdtPr>
      <w:sdtContent>
        <w:p w:rsidR="00000000" w:rsidDel="00000000" w:rsidP="00000000" w:rsidRDefault="00000000" w:rsidRPr="00000000" w14:paraId="0000007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sz w:val="24"/>
              <w:szCs w:val="24"/>
            </w:rPr>
            <w:sectPr>
              <w:headerReference r:id="rId7" w:type="default"/>
              <w:footerReference r:id="rId8" w:type="default"/>
              <w:footerReference r:id="rId9" w:type="first"/>
              <w:footerReference r:id="rId10" w:type="even"/>
              <w:pgSz w:h="16829" w:w="11904"/>
              <w:pgMar w:bottom="426" w:top="2268" w:left="1140" w:right="1123" w:header="720" w:footer="720"/>
              <w:pgNumType w:start="1"/>
              <w:titlePg w:val="1"/>
            </w:sect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bookmarkStart w:colFirst="0" w:colLast="0" w:name="bookmark=id.gjdgxs" w:id="0"/>
    <w:bookmarkEnd w:id="0"/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Содержание учебной программы</w:t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widowControl w:val="0"/>
            <w:spacing w:after="0" w:line="240" w:lineRule="auto"/>
            <w:ind w:left="294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1. Контрактная система в сфере закупок для государственных и муниципальных нужд. Изменения в 2017 году: основные НПА (35 часов):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Контрактная система.</w:t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Единая информационная система.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Закупка. Общие положения.</w:t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Закупки бюджетных организаций.</w:t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Закупки совместные и централизованные.</w:t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Преференции.</w:t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Антидемпинговые меры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Национальный режим в КС.</w:t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Специализированная организация.</w:t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Способы закупок.</w:t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Решение о крупной сделке участника.</w:t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Аудит. Мониторинг. Контроль в КС.</w:t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Ответственность.</w:t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Обжалование.</w:t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Реестр недобросовестных поставщиков (подрядчиков, исполнителей).</w:t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План-график. Обоснование.</w:t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numPr>
              <w:ilvl w:val="0"/>
              <w:numId w:val="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Нормирование. Идентификационный код.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2. Контрактная служба заказчика (21 часов):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Контрактная служба, Контрактный управляющий.</w:t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Рекомендации по созданию контрактной службы.</w:t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Требования к Контрактной службе.</w:t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Обязанности.</w:t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Контроль. Ответственность. Обжалование.</w:t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numPr>
              <w:ilvl w:val="0"/>
              <w:numId w:val="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Комиссия по осуществлению закупок.</w:t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3. Начальная максимальная цена контракта к (22 часов):</w:t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Начальная максимальная цена контракта. </w:t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Обоснование.</w:t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Методы расчетов. Дополнение.</w:t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numPr>
              <w:ilvl w:val="0"/>
              <w:numId w:val="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Указание НМЦК в документации.</w:t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4. Конкурс (25 часов):</w:t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Открытый конкурс. Этапы.</w:t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Подготовка к проведению.</w:t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Подготовка документов.</w:t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Размещение информации.</w:t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Прием заявок.</w:t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Вскрытие конвертов с заявками.</w:t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Выявление победителя конкурса.</w:t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Заключение контракта с победителем.</w:t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Конкурс с ограниченным участием.</w:t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Двухэтапный конкурс.</w:t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widowControl w:val="0"/>
            <w:numPr>
              <w:ilvl w:val="0"/>
              <w:numId w:val="7"/>
            </w:numPr>
            <w:spacing w:after="0" w:line="248.00000000000006" w:lineRule="auto"/>
            <w:ind w:left="720" w:hanging="36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Закрытый конкурс.</w:t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widowControl w:val="0"/>
            <w:spacing w:after="0" w:line="248.00000000000006" w:lineRule="auto"/>
            <w:ind w:left="720"/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5. Электронный аукцион (21 часов):</w:t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Этапы ЭА.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Электронный документооборот в КС.</w:t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Организация проведения ЭА.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документов к ЭА.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об ЭА.</w:t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 ЭА.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Определение победителя ЭА.</w:t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numPr>
              <w:ilvl w:val="0"/>
              <w:numId w:val="11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на ЭА.</w:t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spacing w:after="0" w:line="24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 Модуль 6. Запрос предложений (20 часов):</w:t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Запрос предложений. Этапы.</w:t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к проведению ЗП.</w:t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 ЗП.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заявок.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участников.</w:t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окончательных предложений.</w:t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numPr>
              <w:ilvl w:val="0"/>
              <w:numId w:val="12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Подписание Контракта с победителем.</w:t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7. Запрос котировок (22 часов):</w:t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Запрос котировок. Этапы.</w:t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к проведению ЗК.</w:t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Подготовка документов к ЗК.</w:t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Размещение информации о ЗК.</w:t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Прием заявок в ЗК. </w:t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Выявление участников и победителя в ЗК.</w:t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с победителем ЗК. </w:t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numPr>
              <w:ilvl w:val="0"/>
              <w:numId w:val="13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8. Закупка у Единственного поставщика (24 часов):</w:t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numPr>
              <w:ilvl w:val="0"/>
              <w:numId w:val="1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Закупка у ЕП. Этапы. </w:t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numPr>
              <w:ilvl w:val="0"/>
              <w:numId w:val="1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Особенности закупки у ЕП.</w:t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numPr>
              <w:ilvl w:val="0"/>
              <w:numId w:val="1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Выбор единственного поставщика. </w:t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numPr>
              <w:ilvl w:val="0"/>
              <w:numId w:val="15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Согласование закупки у ЕП. </w:t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numPr>
              <w:ilvl w:val="0"/>
              <w:numId w:val="1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Проект контракта с ЕП. </w:t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numPr>
              <w:ilvl w:val="0"/>
              <w:numId w:val="1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Расчет цены и обоснование. </w:t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numPr>
              <w:ilvl w:val="0"/>
              <w:numId w:val="1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Извещение о закупке у ЕП. </w:t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numPr>
              <w:ilvl w:val="0"/>
              <w:numId w:val="1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 с ЕП.</w:t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spacing w:after="0" w:line="36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9. Техническое задание (21 часов):</w:t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ТЗ. Задачи и правила составления. </w:t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Требования к общей информации. </w:t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Гарантии.</w:t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Расходы на эксплуатацию. Наладка. </w:t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Испытания. Методы производства. </w:t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Описания отдельных видов объектов закупок. </w:t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numPr>
              <w:ilvl w:val="0"/>
              <w:numId w:val="4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исполнения контракта.</w:t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spacing w:after="0" w:line="36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</w:t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10. Государственный и муниципальный контракт (22 часов):</w:t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Общие положения Контракта.</w:t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Заключение Контракта.</w:t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Отказ и уклонение от заключения Контракта.</w:t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Условия Контракта.</w:t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Изменение и расторжение Контракта.</w:t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Отдельные виды Контрактов.</w:t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numPr>
              <w:ilvl w:val="0"/>
              <w:numId w:val="6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Отчет об исполнении Контракта.</w:t>
          </w:r>
        </w:p>
      </w:sdtContent>
    </w:sdt>
    <w:sdt>
      <w:sdtPr>
        <w:tag w:val="goog_rdk_221"/>
      </w:sdtPr>
      <w:sdtContent>
        <w:p w:rsidR="00000000" w:rsidDel="00000000" w:rsidP="00000000" w:rsidRDefault="00000000" w:rsidRPr="00000000" w14:paraId="000000DE">
          <w:pPr>
            <w:spacing w:after="0" w:line="24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2"/>
      </w:sdtPr>
      <w:sdtContent>
        <w:p w:rsidR="00000000" w:rsidDel="00000000" w:rsidP="00000000" w:rsidRDefault="00000000" w:rsidRPr="00000000" w14:paraId="000000DF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11. Риски заказчика при заключении договоров (12 часов):</w:t>
          </w:r>
        </w:p>
      </w:sdtContent>
    </w:sdt>
    <w:sdt>
      <w:sdtPr>
        <w:tag w:val="goog_rdk_223"/>
      </w:sdtPr>
      <w:sdtContent>
        <w:p w:rsidR="00000000" w:rsidDel="00000000" w:rsidP="00000000" w:rsidRDefault="00000000" w:rsidRPr="00000000" w14:paraId="000000E0">
          <w:pPr>
            <w:numPr>
              <w:ilvl w:val="0"/>
              <w:numId w:val="8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Риски заказчика при договорах поставки товаров.</w:t>
          </w:r>
        </w:p>
      </w:sdtContent>
    </w:sdt>
    <w:sdt>
      <w:sdtPr>
        <w:tag w:val="goog_rdk_224"/>
      </w:sdtPr>
      <w:sdtContent>
        <w:p w:rsidR="00000000" w:rsidDel="00000000" w:rsidP="00000000" w:rsidRDefault="00000000" w:rsidRPr="00000000" w14:paraId="000000E1">
          <w:pPr>
            <w:numPr>
              <w:ilvl w:val="0"/>
              <w:numId w:val="8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Риски заказчика при договорах подряда.</w:t>
          </w:r>
        </w:p>
      </w:sdtContent>
    </w:sdt>
    <w:sdt>
      <w:sdtPr>
        <w:tag w:val="goog_rdk_225"/>
      </w:sdtPr>
      <w:sdtContent>
        <w:p w:rsidR="00000000" w:rsidDel="00000000" w:rsidP="00000000" w:rsidRDefault="00000000" w:rsidRPr="00000000" w14:paraId="000000E2">
          <w:pPr>
            <w:numPr>
              <w:ilvl w:val="0"/>
              <w:numId w:val="8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Риски заказчика при договорах оказания услуг.</w:t>
          </w:r>
        </w:p>
      </w:sdtContent>
    </w:sdt>
    <w:sdt>
      <w:sdtPr>
        <w:tag w:val="goog_rdk_226"/>
      </w:sdtPr>
      <w:sdtContent>
        <w:p w:rsidR="00000000" w:rsidDel="00000000" w:rsidP="00000000" w:rsidRDefault="00000000" w:rsidRPr="00000000" w14:paraId="000000E3">
          <w:pPr>
            <w:spacing w:after="0" w:line="24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7"/>
      </w:sdtPr>
      <w:sdtContent>
        <w:p w:rsidR="00000000" w:rsidDel="00000000" w:rsidP="00000000" w:rsidRDefault="00000000" w:rsidRPr="00000000" w14:paraId="000000E4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Модуль 12. Рекомендации заказчику в договорной работе (13 часов):</w:t>
          </w:r>
        </w:p>
      </w:sdtContent>
    </w:sdt>
    <w:sdt>
      <w:sdtPr>
        <w:tag w:val="goog_rdk_228"/>
      </w:sdtPr>
      <w:sdtContent>
        <w:p w:rsidR="00000000" w:rsidDel="00000000" w:rsidP="00000000" w:rsidRDefault="00000000" w:rsidRPr="00000000" w14:paraId="000000E5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Рекомендации к договору поставки товаров.</w:t>
          </w:r>
        </w:p>
      </w:sdtContent>
    </w:sdt>
    <w:sdt>
      <w:sdtPr>
        <w:tag w:val="goog_rdk_229"/>
      </w:sdtPr>
      <w:sdtContent>
        <w:p w:rsidR="00000000" w:rsidDel="00000000" w:rsidP="00000000" w:rsidRDefault="00000000" w:rsidRPr="00000000" w14:paraId="000000E6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Рекомендации к договору подряда.</w:t>
          </w:r>
        </w:p>
      </w:sdtContent>
    </w:sdt>
    <w:sdt>
      <w:sdtPr>
        <w:tag w:val="goog_rdk_230"/>
      </w:sdtPr>
      <w:sdtContent>
        <w:p w:rsidR="00000000" w:rsidDel="00000000" w:rsidP="00000000" w:rsidRDefault="00000000" w:rsidRPr="00000000" w14:paraId="000000E7">
          <w:pPr>
            <w:numPr>
              <w:ilvl w:val="0"/>
              <w:numId w:val="9"/>
            </w:numPr>
            <w:spacing w:after="0" w:line="240" w:lineRule="auto"/>
            <w:ind w:left="720" w:hanging="36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Рекомендации к договору услуг.</w:t>
          </w:r>
        </w:p>
      </w:sdtContent>
    </w:sdt>
    <w:sdt>
      <w:sdtPr>
        <w:tag w:val="goog_rdk_231"/>
      </w:sdtPr>
      <w:sdtContent>
        <w:p w:rsidR="00000000" w:rsidDel="00000000" w:rsidP="00000000" w:rsidRDefault="00000000" w:rsidRPr="00000000" w14:paraId="000000E8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2"/>
      </w:sdtPr>
      <w:sdtContent>
        <w:p w:rsidR="00000000" w:rsidDel="00000000" w:rsidP="00000000" w:rsidRDefault="00000000" w:rsidRPr="00000000" w14:paraId="000000E9">
          <w:pPr>
            <w:spacing w:after="0" w:line="24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Экзаменационное тестирование (2 час).</w:t>
          </w:r>
        </w:p>
      </w:sdtContent>
    </w:sdt>
    <w:sdt>
      <w:sdtPr>
        <w:tag w:val="goog_rdk_233"/>
      </w:sdtPr>
      <w:sdtContent>
        <w:p w:rsidR="00000000" w:rsidDel="00000000" w:rsidP="00000000" w:rsidRDefault="00000000" w:rsidRPr="00000000" w14:paraId="000000EA">
          <w:pPr>
            <w:spacing w:after="0" w:line="360" w:lineRule="auto"/>
            <w:ind w:left="720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4"/>
      </w:sdtPr>
      <w:sdtContent>
        <w:p w:rsidR="00000000" w:rsidDel="00000000" w:rsidP="00000000" w:rsidRDefault="00000000" w:rsidRPr="00000000" w14:paraId="000000EB">
          <w:pPr>
            <w:spacing w:after="0" w:line="360" w:lineRule="auto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2665095</wp:posOffset>
                </wp:positionH>
                <wp:positionV relativeFrom="paragraph">
                  <wp:posOffset>38735</wp:posOffset>
                </wp:positionV>
                <wp:extent cx="2058705" cy="2004060"/>
                <wp:effectExtent b="0" l="0" r="0" t="0"/>
                <wp:wrapSquare wrapText="bothSides" distB="0" distT="0" distL="0" distR="0"/>
                <wp:docPr descr="C:\Users\muser\Dropbox\Администратор\скан печать\печть и подпись.png" id="3" name="image1.png"/>
                <a:graphic>
                  <a:graphicData uri="http://schemas.openxmlformats.org/drawingml/2006/picture">
                    <pic:pic>
                      <pic:nvPicPr>
                        <pic:cNvPr descr="C:\Users\muser\Dropbox\Администратор\скан печать\печть и подпись.png"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8705" cy="2004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35"/>
      </w:sdtPr>
      <w:sdtContent>
        <w:p w:rsidR="00000000" w:rsidDel="00000000" w:rsidP="00000000" w:rsidRDefault="00000000" w:rsidRPr="00000000" w14:paraId="000000EC">
          <w:pPr>
            <w:spacing w:after="0" w:line="24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6"/>
      </w:sdtPr>
      <w:sdtContent>
        <w:p w:rsidR="00000000" w:rsidDel="00000000" w:rsidP="00000000" w:rsidRDefault="00000000" w:rsidRPr="00000000" w14:paraId="000000ED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Директор ООО «ЦПК «Бизнес-Формат»                                                       Баковец Ю.Ю.</w:t>
          </w:r>
        </w:p>
      </w:sdtContent>
    </w:sdt>
    <w:sdt>
      <w:sdtPr>
        <w:tag w:val="goog_rdk_237"/>
      </w:sdtPr>
      <w:sdtContent>
        <w:p w:rsidR="00000000" w:rsidDel="00000000" w:rsidP="00000000" w:rsidRDefault="00000000" w:rsidRPr="00000000" w14:paraId="000000EE">
          <w:pPr>
            <w:jc w:val="both"/>
            <w:rPr>
              <w:rFonts w:ascii="Times New Roman" w:cs="Times New Roman" w:eastAsia="Times New Roman" w:hAnsi="Times New Roman"/>
              <w:sz w:val="24"/>
              <w:szCs w:val="24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tl w:val="0"/>
            </w:rPr>
          </w:r>
        </w:p>
      </w:sdtContent>
    </w:sdt>
    <w:sectPr>
      <w:type w:val="continuous"/>
      <w:pgSz w:h="16829" w:w="11904"/>
      <w:pgMar w:bottom="426" w:top="2268" w:left="1140" w:right="1123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9"/>
    </w:sdtPr>
    <w:sdtContent>
      <w:p w:rsidR="00000000" w:rsidDel="00000000" w:rsidP="00000000" w:rsidRDefault="00000000" w:rsidRPr="00000000" w14:paraId="000000F0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40"/>
    </w:sdtPr>
    <w:sdtContent>
      <w:p w:rsidR="00000000" w:rsidDel="00000000" w:rsidP="00000000" w:rsidRDefault="00000000" w:rsidRPr="00000000" w14:paraId="000000F1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41"/>
    </w:sdtPr>
    <w:sdtContent>
      <w:p w:rsidR="00000000" w:rsidDel="00000000" w:rsidP="00000000" w:rsidRDefault="00000000" w:rsidRPr="00000000" w14:paraId="000000F2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238"/>
    </w:sdtPr>
    <w:sdtContent>
      <w:p w:rsidR="00000000" w:rsidDel="00000000" w:rsidP="00000000" w:rsidRDefault="00000000" w:rsidRPr="00000000" w14:paraId="000000E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677"/>
            <w:tab w:val="right" w:pos="9355"/>
          </w:tabs>
          <w:spacing w:after="200" w:before="0" w:line="276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  <w:r w:rsidDel="00000000" w:rsidR="00000000" w:rsidRPr="00000000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-480059</wp:posOffset>
              </wp:positionV>
              <wp:extent cx="7785100" cy="1331595"/>
              <wp:effectExtent b="0" l="0" r="0" t="0"/>
              <wp:wrapSquare wrapText="bothSides" distB="0" distT="0" distL="0" distR="0"/>
              <wp:docPr descr="Business_Format_blank2" id="4" name="image2.jpg"/>
              <a:graphic>
                <a:graphicData uri="http://schemas.openxmlformats.org/drawingml/2006/picture">
                  <pic:pic>
                    <pic:nvPicPr>
                      <pic:cNvPr descr="Business_Format_blank2" id="0" name="image2.jp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5100" cy="13315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В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a" w:default="1">
    <w:name w:val="Normal"/>
    <w:qFormat w:val="1"/>
    <w:rsid w:val="00EA3B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 w:val="1"/>
    <w:locked w:val="1"/>
    <w:rsid w:val="00037C84"/>
    <w:pPr>
      <w:keepNext w:val="1"/>
      <w:spacing w:after="60" w:before="240" w:line="240" w:lineRule="auto"/>
      <w:outlineLvl w:val="0"/>
    </w:pPr>
    <w:rPr>
      <w:rFonts w:ascii="Arial" w:cs="Arial" w:eastAsia="Times New Roman" w:hAnsi="Arial"/>
      <w:b w:val="1"/>
      <w:bCs w:val="1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 w:val="1"/>
    <w:rsid w:val="00962450"/>
    <w:pPr>
      <w:keepNext w:val="1"/>
      <w:spacing w:after="60" w:before="240"/>
      <w:outlineLvl w:val="2"/>
    </w:pPr>
    <w:rPr>
      <w:rFonts w:ascii="Cambria" w:eastAsia="Times New Roman" w:hAnsi="Cambria"/>
      <w:b w:val="1"/>
      <w:bCs w:val="1"/>
      <w:sz w:val="26"/>
      <w:szCs w:val="26"/>
    </w:rPr>
  </w:style>
  <w:style w:type="paragraph" w:styleId="4">
    <w:name w:val="heading 4"/>
    <w:basedOn w:val="a"/>
    <w:next w:val="a"/>
    <w:link w:val="40"/>
    <w:qFormat w:val="1"/>
    <w:locked w:val="1"/>
    <w:rsid w:val="00037C84"/>
    <w:pPr>
      <w:keepNext w:val="1"/>
      <w:spacing w:after="60" w:before="240" w:line="240" w:lineRule="auto"/>
      <w:outlineLvl w:val="3"/>
    </w:pPr>
    <w:rPr>
      <w:rFonts w:ascii="Times New Roman" w:eastAsia="Times New Roman" w:hAnsi="Times New Roman"/>
      <w:b w:val="1"/>
      <w:bCs w:val="1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link w:val="3"/>
    <w:uiPriority w:val="99"/>
    <w:locked w:val="1"/>
    <w:rsid w:val="00962450"/>
    <w:rPr>
      <w:rFonts w:ascii="Cambria" w:cs="Times New Roman" w:hAnsi="Cambria"/>
      <w:b w:val="1"/>
      <w:bCs w:val="1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 w:val="1"/>
    <w:rsid w:val="005B730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link w:val="a3"/>
    <w:uiPriority w:val="99"/>
    <w:semiHidden w:val="1"/>
    <w:locked w:val="1"/>
    <w:rsid w:val="005B7305"/>
    <w:rPr>
      <w:rFonts w:ascii="Tahoma" w:cs="Tahoma" w:hAnsi="Tahoma"/>
      <w:sz w:val="16"/>
      <w:szCs w:val="16"/>
    </w:rPr>
  </w:style>
  <w:style w:type="paragraph" w:styleId="a5">
    <w:name w:val="No Spacing"/>
    <w:link w:val="a6"/>
    <w:uiPriority w:val="1"/>
    <w:qFormat w:val="1"/>
    <w:rsid w:val="005B7305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77FCF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link w:val="a7"/>
    <w:uiPriority w:val="99"/>
    <w:locked w:val="1"/>
    <w:rsid w:val="00F77FCF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 w:val="1"/>
    <w:rsid w:val="00F77FCF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link w:val="a9"/>
    <w:uiPriority w:val="99"/>
    <w:semiHidden w:val="1"/>
    <w:locked w:val="1"/>
    <w:rsid w:val="00F77FCF"/>
    <w:rPr>
      <w:rFonts w:cs="Times New Roman"/>
      <w:sz w:val="22"/>
      <w:szCs w:val="22"/>
      <w:lang w:eastAsia="en-US"/>
    </w:rPr>
  </w:style>
  <w:style w:type="paragraph" w:styleId="11" w:customStyle="1">
    <w:name w:val="Знак1 Знак Знак Знак Знак Знак Знак Знак Знак Знак Знак Знак Знак"/>
    <w:basedOn w:val="a"/>
    <w:uiPriority w:val="99"/>
    <w:rsid w:val="00DC6C8B"/>
    <w:pPr>
      <w:spacing w:after="100" w:afterAutospacing="1" w:before="100" w:before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b">
    <w:name w:val="Hyperlink"/>
    <w:rsid w:val="00F04700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 w:val="1"/>
    <w:rsid w:val="00A26E4E"/>
    <w:pPr>
      <w:ind w:left="720"/>
      <w:contextualSpacing w:val="1"/>
    </w:pPr>
  </w:style>
  <w:style w:type="table" w:styleId="ad">
    <w:name w:val="Table Grid"/>
    <w:basedOn w:val="a1"/>
    <w:uiPriority w:val="99"/>
    <w:rsid w:val="0096245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e">
    <w:name w:val="Emphasis"/>
    <w:uiPriority w:val="99"/>
    <w:qFormat w:val="1"/>
    <w:rsid w:val="0051009E"/>
    <w:rPr>
      <w:rFonts w:cs="Times New Roman"/>
      <w:i w:val="1"/>
      <w:iCs w:val="1"/>
    </w:rPr>
  </w:style>
  <w:style w:type="character" w:styleId="af">
    <w:name w:val="Strong"/>
    <w:uiPriority w:val="99"/>
    <w:qFormat w:val="1"/>
    <w:rsid w:val="009F15D6"/>
    <w:rPr>
      <w:rFonts w:cs="Times New Roman"/>
      <w:b w:val="1"/>
      <w:bCs w:val="1"/>
    </w:rPr>
  </w:style>
  <w:style w:type="character" w:styleId="10" w:customStyle="1">
    <w:name w:val="Заголовок 1 Знак"/>
    <w:link w:val="1"/>
    <w:rsid w:val="00037C84"/>
    <w:rPr>
      <w:rFonts w:ascii="Arial" w:cs="Arial" w:eastAsia="Times New Roman" w:hAnsi="Arial"/>
      <w:b w:val="1"/>
      <w:bCs w:val="1"/>
      <w:kern w:val="32"/>
      <w:sz w:val="32"/>
      <w:szCs w:val="32"/>
    </w:rPr>
  </w:style>
  <w:style w:type="character" w:styleId="40" w:customStyle="1">
    <w:name w:val="Заголовок 4 Знак"/>
    <w:link w:val="4"/>
    <w:rsid w:val="00037C84"/>
    <w:rPr>
      <w:rFonts w:ascii="Times New Roman" w:eastAsia="Times New Roman" w:hAnsi="Times New Roman"/>
      <w:b w:val="1"/>
      <w:bCs w:val="1"/>
      <w:sz w:val="28"/>
      <w:szCs w:val="28"/>
    </w:rPr>
  </w:style>
  <w:style w:type="paragraph" w:styleId="af0">
    <w:name w:val="Title"/>
    <w:basedOn w:val="a"/>
    <w:link w:val="af1"/>
    <w:qFormat w:val="1"/>
    <w:locked w:val="1"/>
    <w:rsid w:val="00037C84"/>
    <w:pPr>
      <w:spacing w:after="0" w:line="240" w:lineRule="auto"/>
      <w:jc w:val="center"/>
    </w:pPr>
    <w:rPr>
      <w:rFonts w:ascii="Times New Roman" w:eastAsia="Times New Roman" w:hAnsi="Times New Roman"/>
      <w:b w:val="1"/>
      <w:sz w:val="32"/>
      <w:szCs w:val="20"/>
      <w:lang w:eastAsia="ru-RU"/>
    </w:rPr>
  </w:style>
  <w:style w:type="character" w:styleId="af1" w:customStyle="1">
    <w:name w:val="Название Знак"/>
    <w:link w:val="af0"/>
    <w:rsid w:val="00037C84"/>
    <w:rPr>
      <w:rFonts w:ascii="Times New Roman" w:eastAsia="Times New Roman" w:hAnsi="Times New Roman"/>
      <w:b w:val="1"/>
      <w:sz w:val="32"/>
    </w:rPr>
  </w:style>
  <w:style w:type="character" w:styleId="apple-converted-space" w:customStyle="1">
    <w:name w:val="apple-converted-space"/>
    <w:rsid w:val="003938B3"/>
  </w:style>
  <w:style w:type="character" w:styleId="a6" w:customStyle="1">
    <w:name w:val="Без интервала Знак"/>
    <w:link w:val="a5"/>
    <w:uiPriority w:val="1"/>
    <w:locked w:val="1"/>
    <w:rsid w:val="002E2FA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i6w97K8Qi7/TSi+vlmmLlt1Dw==">AMUW2mWprVsNjCycNa2AP9ZAQDNouAzgFCz9AuYwjqeSXYy7OFp1FxAudbEPb7MGJGJTabJsPPizhGoKkv2EIlsnBLyHY/1THa4CCvnJ5ke6kUfkDpDuDmHu0RvrVEbcznlgcQnVja933fx0Yb1VFNEBEBSYXOnqYw==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2016-08-08T07:45:00Z</dcterms:created>
  <dc:creator>НМ</dc:creator>
</cp:coreProperties>
</file>